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E4" w:rsidRDefault="001746E4" w:rsidP="001746E4">
      <w:pPr>
        <w:pStyle w:val="ConsPlusNormal"/>
        <w:jc w:val="center"/>
        <w:rPr>
          <w:b/>
        </w:rPr>
      </w:pPr>
      <w:r w:rsidRPr="001746E4">
        <w:rPr>
          <w:b/>
        </w:rPr>
        <w:t xml:space="preserve">ОБЗОР </w:t>
      </w:r>
    </w:p>
    <w:p w:rsidR="00881519" w:rsidRPr="001746E4" w:rsidRDefault="001746E4" w:rsidP="001746E4">
      <w:pPr>
        <w:pStyle w:val="ConsPlusNormal"/>
        <w:jc w:val="center"/>
        <w:rPr>
          <w:b/>
        </w:rPr>
      </w:pPr>
      <w:r w:rsidRPr="001746E4">
        <w:rPr>
          <w:b/>
        </w:rPr>
        <w:t>изменений законодательства в мае – июне 2017 года</w:t>
      </w:r>
    </w:p>
    <w:p w:rsidR="001746E4" w:rsidRPr="001746E4" w:rsidRDefault="001746E4" w:rsidP="001746E4">
      <w:pPr>
        <w:pStyle w:val="ConsPlusNormal"/>
        <w:jc w:val="center"/>
        <w:rPr>
          <w:b/>
        </w:rPr>
      </w:pPr>
    </w:p>
    <w:p w:rsidR="00881519" w:rsidRDefault="00877722" w:rsidP="001746E4">
      <w:pPr>
        <w:pStyle w:val="ConsPlusNormal"/>
        <w:numPr>
          <w:ilvl w:val="0"/>
          <w:numId w:val="1"/>
        </w:numPr>
        <w:jc w:val="both"/>
      </w:pPr>
      <w:hyperlink r:id="rId8" w:history="1">
        <w:r w:rsidR="00881519">
          <w:rPr>
            <w:color w:val="0000FF"/>
          </w:rPr>
          <w:t>Распоряжение</w:t>
        </w:r>
      </w:hyperlink>
      <w:r w:rsidR="00881519">
        <w:t xml:space="preserve"> Правительства РФ от 22.05.2017 N 978-р</w:t>
      </w:r>
    </w:p>
    <w:p w:rsidR="00881519" w:rsidRDefault="00881519">
      <w:pPr>
        <w:pStyle w:val="ConsPlusNormal"/>
        <w:ind w:left="540"/>
        <w:jc w:val="both"/>
      </w:pPr>
      <w:r>
        <w:t>&lt;Об утверждении Основ государственного регулирования и государственного контроля организации отдыха и оздоровления детей&gt;</w:t>
      </w:r>
    </w:p>
    <w:p w:rsidR="00881519" w:rsidRDefault="00881519">
      <w:pPr>
        <w:pStyle w:val="ConsPlusNormal"/>
        <w:ind w:firstLine="540"/>
        <w:jc w:val="both"/>
      </w:pPr>
    </w:p>
    <w:p w:rsidR="00881519" w:rsidRDefault="00881519">
      <w:pPr>
        <w:pStyle w:val="ConsPlusNormal"/>
        <w:ind w:firstLine="540"/>
        <w:jc w:val="both"/>
      </w:pPr>
      <w:r>
        <w:rPr>
          <w:b/>
        </w:rPr>
        <w:t>Утверждены приоритетные цели, задачи и механизмы по обеспечению отдыха и оздоровления детей в Российской Федерации</w:t>
      </w:r>
    </w:p>
    <w:p w:rsidR="00881519" w:rsidRDefault="00881519">
      <w:pPr>
        <w:pStyle w:val="ConsPlusNormal"/>
        <w:ind w:firstLine="540"/>
        <w:jc w:val="both"/>
      </w:pPr>
      <w:r>
        <w:t>Целями государственного регулирования и государственного контроля организации отдыха и оздоровления детей являются совершенствование правовых, социально-экономических и организационных условий для организации качественного и доступного отдыха и оздоровления детей, повышение их личностных компетенций, увеличение степени их вовлеченности в социально значимую жизнь страны.</w:t>
      </w:r>
    </w:p>
    <w:p w:rsidR="00881519" w:rsidRDefault="00881519">
      <w:pPr>
        <w:pStyle w:val="ConsPlusNormal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881519" w:rsidRDefault="00881519">
      <w:pPr>
        <w:pStyle w:val="ConsPlusNormal"/>
        <w:ind w:firstLine="540"/>
        <w:jc w:val="both"/>
      </w:pPr>
      <w:r>
        <w:t>совершенствование законодательных и нормативных правовых актов в сфере организации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>предупреждение, выявление и пресечение нарушений требований законодательства РФ в сфере организации отдыха и оздоровления детей уполномоченными контрольно-надзорными органами в установленных сферах деятельности;</w:t>
      </w:r>
    </w:p>
    <w:p w:rsidR="00881519" w:rsidRDefault="00881519">
      <w:pPr>
        <w:pStyle w:val="ConsPlusNormal"/>
        <w:ind w:firstLine="540"/>
        <w:jc w:val="both"/>
      </w:pPr>
      <w:r>
        <w:t>обеспечение организаций отдыха и оздоровления детей профессиональными кадрами;</w:t>
      </w:r>
    </w:p>
    <w:p w:rsidR="00881519" w:rsidRDefault="00881519">
      <w:pPr>
        <w:pStyle w:val="ConsPlusNormal"/>
        <w:ind w:firstLine="540"/>
        <w:jc w:val="both"/>
      </w:pPr>
      <w:r>
        <w:t>развитие инфраструктуры организаций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>формирование образовательной и воспитательной идеологии с учетом многонациональной основы государства;</w:t>
      </w:r>
    </w:p>
    <w:p w:rsidR="00881519" w:rsidRDefault="00881519">
      <w:pPr>
        <w:pStyle w:val="ConsPlusNormal"/>
        <w:ind w:firstLine="540"/>
        <w:jc w:val="both"/>
      </w:pPr>
      <w:r>
        <w:t>совершенствование межведомственной системы обеспечения государственного регулирования организации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>повышение доступности услуг по организации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>повышение эффективности использования информационной инфраструктуры в интересах повышения качества услуг по организации отдыха и оздоровления детей.</w:t>
      </w:r>
    </w:p>
    <w:p w:rsidR="00881519" w:rsidRDefault="00881519">
      <w:pPr>
        <w:pStyle w:val="ConsPlusNormal"/>
        <w:ind w:firstLine="540"/>
        <w:jc w:val="both"/>
      </w:pPr>
      <w:proofErr w:type="gramStart"/>
      <w:r>
        <w:t>В процессе реализации поставленных задач будут задействованы правовые, организационные, информационные, научно-аналитические и социальные механизмы взаимодействия всех заинтересованных органов и организаций на федеральном, региональном и муниципальном уровнях.</w:t>
      </w:r>
      <w:proofErr w:type="gramEnd"/>
    </w:p>
    <w:p w:rsidR="00881519" w:rsidRDefault="00881519">
      <w:pPr>
        <w:pStyle w:val="ConsPlusNormal"/>
        <w:ind w:firstLine="540"/>
        <w:jc w:val="both"/>
      </w:pPr>
      <w:r>
        <w:t>Правовыми механизмами являются:</w:t>
      </w:r>
    </w:p>
    <w:p w:rsidR="00881519" w:rsidRDefault="00881519">
      <w:pPr>
        <w:pStyle w:val="ConsPlusNormal"/>
        <w:ind w:firstLine="540"/>
        <w:jc w:val="both"/>
      </w:pPr>
      <w:r>
        <w:t>совершенствование законодательных и иных нормативных правовых актов в сфере организации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 xml:space="preserve">развитие системы государственно-частного партнерства в целях вовлечения в организацию отдыха и оздоровления детей </w:t>
      </w:r>
      <w:proofErr w:type="gramStart"/>
      <w:r>
        <w:t>бизнес-сообществ</w:t>
      </w:r>
      <w:proofErr w:type="gramEnd"/>
      <w:r>
        <w:t>, общественных объединений и организаций, а также граждан.</w:t>
      </w:r>
    </w:p>
    <w:p w:rsidR="00881519" w:rsidRDefault="00881519">
      <w:pPr>
        <w:pStyle w:val="ConsPlusNormal"/>
        <w:ind w:firstLine="540"/>
        <w:jc w:val="both"/>
      </w:pPr>
      <w:r>
        <w:t>Организационными механизмами реализации основ являются, в частности:</w:t>
      </w:r>
    </w:p>
    <w:p w:rsidR="00881519" w:rsidRDefault="00881519">
      <w:pPr>
        <w:pStyle w:val="ConsPlusNormal"/>
        <w:ind w:firstLine="540"/>
        <w:jc w:val="both"/>
      </w:pPr>
      <w:r>
        <w:t>проведение ежегодного мониторинга оздоровительных кампаний в Российской Федерации;</w:t>
      </w:r>
    </w:p>
    <w:p w:rsidR="00881519" w:rsidRDefault="00881519">
      <w:pPr>
        <w:pStyle w:val="ConsPlusNormal"/>
        <w:ind w:firstLine="540"/>
        <w:jc w:val="both"/>
      </w:pPr>
      <w:r>
        <w:t>формирование органами исполнительной власти субъектов РФ реестров организаций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>финансовое обеспечение государственных и муниципальных организаций отдыха и оздоровления детей за счет средств федерального, региональных и муниципальных бюджетов.</w:t>
      </w:r>
    </w:p>
    <w:p w:rsidR="00881519" w:rsidRDefault="00881519">
      <w:pPr>
        <w:pStyle w:val="ConsPlusNormal"/>
        <w:ind w:firstLine="540"/>
        <w:jc w:val="both"/>
      </w:pPr>
      <w:r>
        <w:t>Информационным механизмом реализации основ является информирование граждан об организации отдыха и оздоровления детей через информационно-телекоммуникационную сеть "Интернет" и средства массовой информации.</w:t>
      </w:r>
    </w:p>
    <w:p w:rsidR="00881519" w:rsidRDefault="00881519">
      <w:pPr>
        <w:pStyle w:val="ConsPlusNormal"/>
        <w:ind w:firstLine="540"/>
        <w:jc w:val="both"/>
      </w:pPr>
      <w:r>
        <w:t>Научно-аналитическими механизмами являются, в том числе:</w:t>
      </w:r>
    </w:p>
    <w:p w:rsidR="00881519" w:rsidRDefault="00881519">
      <w:pPr>
        <w:pStyle w:val="ConsPlusNormal"/>
        <w:ind w:firstLine="540"/>
        <w:jc w:val="both"/>
      </w:pPr>
      <w:r>
        <w:t>расширение практики системных научных исследований по вопросам организации отдыха и оздоровления детей;</w:t>
      </w:r>
    </w:p>
    <w:p w:rsidR="00881519" w:rsidRDefault="00881519">
      <w:pPr>
        <w:pStyle w:val="ConsPlusNormal"/>
        <w:ind w:firstLine="540"/>
        <w:jc w:val="both"/>
      </w:pPr>
      <w:r>
        <w:t>проведение научных исследований по вопросам организации отдыха и оздоровления детей, подготовки педагогических кадров для организаций отдыха и оздоровления детей на федеральном и региональном уровнях.</w:t>
      </w:r>
    </w:p>
    <w:p w:rsidR="00881519" w:rsidRDefault="00881519">
      <w:pPr>
        <w:pStyle w:val="ConsPlusNormal"/>
        <w:ind w:firstLine="540"/>
        <w:jc w:val="both"/>
      </w:pPr>
      <w:r>
        <w:lastRenderedPageBreak/>
        <w:t>Социальными механизмами реализации являются:</w:t>
      </w:r>
    </w:p>
    <w:p w:rsidR="00881519" w:rsidRDefault="00881519">
      <w:pPr>
        <w:pStyle w:val="ConsPlusNormal"/>
        <w:ind w:firstLine="540"/>
        <w:jc w:val="both"/>
      </w:pPr>
      <w:r>
        <w:t>создание необходимой инфраструктуры в организациях отдыха и оздоровления детей для детей-инвалидов и детей с ограниченными возможностями здоровья;</w:t>
      </w:r>
    </w:p>
    <w:p w:rsidR="00881519" w:rsidRDefault="00881519">
      <w:pPr>
        <w:pStyle w:val="ConsPlusNormal"/>
        <w:ind w:firstLine="540"/>
        <w:jc w:val="both"/>
      </w:pPr>
      <w:r>
        <w:t>формирование системы общественного контроля над деятельностью организаций отдыха и оздоровления детей.</w:t>
      </w:r>
    </w:p>
    <w:p w:rsidR="00881519" w:rsidRDefault="00881519">
      <w:pPr>
        <w:pStyle w:val="ConsPlusNormal"/>
      </w:pPr>
    </w:p>
    <w:p w:rsidR="00881519" w:rsidRDefault="00881519" w:rsidP="001746E4">
      <w:pPr>
        <w:pStyle w:val="ConsPlusNormal"/>
        <w:numPr>
          <w:ilvl w:val="0"/>
          <w:numId w:val="1"/>
        </w:numPr>
        <w:jc w:val="both"/>
      </w:pPr>
      <w:r>
        <w:t>Информация ГУ МВД России по г. Москве от 31.05.2017</w:t>
      </w:r>
    </w:p>
    <w:p w:rsidR="00881519" w:rsidRDefault="00881519">
      <w:pPr>
        <w:pStyle w:val="ConsPlusNormal"/>
        <w:ind w:left="540"/>
        <w:jc w:val="both"/>
      </w:pPr>
      <w:r>
        <w:t>"В столице вводится особый порядок регистрационного учета граждан, прибывающих на территорию города в период проведения в Российской Федерации чемпионата мира по футболу FIFA 2018 года и Кубка конфедераций FIFA 2017 года"</w:t>
      </w:r>
    </w:p>
    <w:p w:rsidR="00881519" w:rsidRDefault="00881519">
      <w:pPr>
        <w:pStyle w:val="ConsPlusNormal"/>
        <w:ind w:firstLine="540"/>
        <w:jc w:val="both"/>
      </w:pPr>
    </w:p>
    <w:p w:rsidR="00881519" w:rsidRDefault="00881519">
      <w:pPr>
        <w:pStyle w:val="ConsPlusNormal"/>
        <w:ind w:firstLine="540"/>
        <w:jc w:val="both"/>
      </w:pPr>
      <w:r>
        <w:rPr>
          <w:b/>
        </w:rPr>
        <w:t>В период проведения Кубка конфедераций-2017 и чемпионата мира по футболу FIFA 2018 в Москве будет ужесточен порядок регистрационного учета</w:t>
      </w:r>
    </w:p>
    <w:p w:rsidR="00881519" w:rsidRDefault="00881519">
      <w:pPr>
        <w:pStyle w:val="ConsPlusNormal"/>
        <w:ind w:firstLine="540"/>
        <w:jc w:val="both"/>
      </w:pPr>
      <w:r>
        <w:t>Установлено, что для граждан России срок обращения для регистрации по месту пребывания сокращается с 90 дней (по месту жительства - с 7 дней) до 3 дней со дня прибытия.</w:t>
      </w:r>
    </w:p>
    <w:p w:rsidR="00881519" w:rsidRDefault="00881519">
      <w:pPr>
        <w:pStyle w:val="ConsPlusNormal"/>
        <w:ind w:firstLine="540"/>
        <w:jc w:val="both"/>
      </w:pPr>
      <w:r>
        <w:t xml:space="preserve">Для иностранных граждан и лиц без гражданства срок обращения для постановки на учет по месту пребывания или регистрации по месту жительства сокращается с 7 рабочих дней до 1 суток со дня прибытия </w:t>
      </w:r>
      <w:proofErr w:type="gramStart"/>
      <w:r>
        <w:t>в место жительства</w:t>
      </w:r>
      <w:proofErr w:type="gramEnd"/>
      <w:r>
        <w:t xml:space="preserve"> или место пребывания.</w:t>
      </w:r>
    </w:p>
    <w:p w:rsidR="00881519" w:rsidRDefault="00881519">
      <w:pPr>
        <w:pStyle w:val="ConsPlusNormal"/>
        <w:ind w:firstLine="540"/>
        <w:jc w:val="both"/>
      </w:pPr>
      <w:r>
        <w:t>Нарушение указанных требований повлечет привлечение к ответственности в соответствии с действующим законодательством.</w:t>
      </w:r>
    </w:p>
    <w:p w:rsidR="00881519" w:rsidRDefault="00881519">
      <w:pPr>
        <w:pStyle w:val="ConsPlusNormal"/>
        <w:ind w:firstLine="540"/>
        <w:jc w:val="both"/>
      </w:pPr>
      <w:proofErr w:type="gramStart"/>
      <w:r>
        <w:t>Данные меры приняты в соответствии с Указом Президента РФ от 09.05.2017 N 202 "Об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года", согласно которому вышеуказанный порядок постановки на регистрационный учет действует в период с 1 июня по 12 июля 2017 года в Казани, Москве</w:t>
      </w:r>
      <w:proofErr w:type="gramEnd"/>
      <w:r>
        <w:t xml:space="preserve">, </w:t>
      </w:r>
      <w:proofErr w:type="gramStart"/>
      <w:r>
        <w:t>Санкт-Петербурге</w:t>
      </w:r>
      <w:proofErr w:type="gramEnd"/>
      <w:r>
        <w:t xml:space="preserve"> и в Сочи, а также в период с 25 мая по 25 июля 2018 года в Волгограде, Екатеринбурге, Казани, Калининграде, Москве, Нижнем Новгороде, Ростове-на-Дону, Самаре, Санкт-Петербурге, Саранске и в Сочи.</w:t>
      </w:r>
    </w:p>
    <w:p w:rsidR="001746E4" w:rsidRDefault="001746E4">
      <w:pPr>
        <w:spacing w:after="1" w:line="220" w:lineRule="atLeast"/>
        <w:ind w:left="540"/>
        <w:jc w:val="both"/>
        <w:rPr>
          <w:rFonts w:ascii="Calibri" w:hAnsi="Calibri" w:cs="Calibri"/>
        </w:rPr>
      </w:pPr>
    </w:p>
    <w:p w:rsidR="00881519" w:rsidRDefault="00881519" w:rsidP="001746E4">
      <w:pPr>
        <w:pStyle w:val="a3"/>
        <w:numPr>
          <w:ilvl w:val="0"/>
          <w:numId w:val="1"/>
        </w:numPr>
        <w:spacing w:after="1" w:line="220" w:lineRule="atLeast"/>
        <w:jc w:val="both"/>
      </w:pPr>
      <w:r w:rsidRPr="001746E4">
        <w:rPr>
          <w:rFonts w:ascii="Calibri" w:hAnsi="Calibri" w:cs="Calibri"/>
        </w:rPr>
        <w:t>&lt;</w:t>
      </w:r>
      <w:hyperlink r:id="rId9" w:history="1">
        <w:r w:rsidRPr="001746E4">
          <w:rPr>
            <w:rFonts w:ascii="Calibri" w:hAnsi="Calibri" w:cs="Calibri"/>
            <w:color w:val="0000FF"/>
          </w:rPr>
          <w:t>Письмо&gt;</w:t>
        </w:r>
      </w:hyperlink>
      <w:r w:rsidRPr="001746E4">
        <w:rPr>
          <w:rFonts w:ascii="Calibri" w:hAnsi="Calibri" w:cs="Calibri"/>
        </w:rPr>
        <w:t xml:space="preserve"> ФСС РФ от 22.05.2017 N 02-09-11/22-03-11096</w:t>
      </w:r>
    </w:p>
    <w:p w:rsidR="00881519" w:rsidRDefault="00881519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&lt;По вопросу продления и оформления медицинской организацией листка нетрудоспособности, выданного на бумажном бланке другой медицинской организацией&gt;</w:t>
      </w:r>
    </w:p>
    <w:p w:rsidR="00881519" w:rsidRDefault="00881519">
      <w:pPr>
        <w:spacing w:after="1" w:line="220" w:lineRule="atLeast"/>
        <w:ind w:firstLine="540"/>
        <w:jc w:val="both"/>
        <w:outlineLvl w:val="0"/>
      </w:pP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ФСС России разъяснены вопросы, касающиеся продления и оформления медицинской организацией листка нетрудоспособности, выданного на бумажном бланке другой медицинской организацией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Сообщается, в частности, что второй медицинской организации необходимо руководствоваться абзацем третьим пункта 6 Порядка выдачи листков нетрудоспособности, утвержденного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29.06.2011 N 624н, предусматривающим, что продление и (или) закрытие листка нетрудоспособности осуществляется медицинской организацией, в которую гражданин был направлен (обратился) на лечение. Но при этом под продлением следует понимать выдачу "продолжения" листка нетрудоспособности, оформленного предыдущей медицинской организацией, на новом бланке с одновременным оформлением (закрытием) предыдущего листка нетрудоспособности для представления к оплате.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Помимо указания периода нетрудоспособности в листок нетрудоспособности должна вноситься и иная значимая информация, в частности, в разделе "Заполняется врачом медицинской организации" </w:t>
      </w:r>
      <w:proofErr w:type="gramStart"/>
      <w:r>
        <w:rPr>
          <w:rFonts w:ascii="Calibri" w:hAnsi="Calibri" w:cs="Calibri"/>
        </w:rPr>
        <w:t>указывается</w:t>
      </w:r>
      <w:proofErr w:type="gramEnd"/>
      <w:r>
        <w:rPr>
          <w:rFonts w:ascii="Calibri" w:hAnsi="Calibri" w:cs="Calibri"/>
        </w:rPr>
        <w:t xml:space="preserve"> в том числе наименование медицинской организации, ее ОГРН, адрес оказания медицинских услуг.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Однако в одном бланке листка нетрудоспособности невозможно указать реквизиты двух разных медицинских организаций, а возможность осуществления действий по продлению периода временной нетрудоспособности без авторизации медицинской организации с указанием ее реквизитов вышеназванный Порядок не предусматривает.</w:t>
      </w:r>
    </w:p>
    <w:p w:rsidR="00881519" w:rsidRDefault="00881519">
      <w:pPr>
        <w:spacing w:after="1" w:line="220" w:lineRule="atLeast"/>
      </w:pPr>
    </w:p>
    <w:p w:rsidR="00881519" w:rsidRDefault="00881519" w:rsidP="001746E4">
      <w:pPr>
        <w:pStyle w:val="a3"/>
        <w:numPr>
          <w:ilvl w:val="0"/>
          <w:numId w:val="1"/>
        </w:numPr>
        <w:spacing w:after="1" w:line="220" w:lineRule="atLeast"/>
        <w:jc w:val="both"/>
      </w:pPr>
      <w:r w:rsidRPr="001746E4">
        <w:rPr>
          <w:rFonts w:ascii="Calibri" w:hAnsi="Calibri" w:cs="Calibri"/>
        </w:rPr>
        <w:t xml:space="preserve">Федеральный </w:t>
      </w:r>
      <w:hyperlink r:id="rId10" w:history="1">
        <w:r w:rsidRPr="001746E4">
          <w:rPr>
            <w:rFonts w:ascii="Calibri" w:hAnsi="Calibri" w:cs="Calibri"/>
            <w:color w:val="0000FF"/>
          </w:rPr>
          <w:t>закон</w:t>
        </w:r>
      </w:hyperlink>
      <w:r w:rsidRPr="001746E4">
        <w:rPr>
          <w:rFonts w:ascii="Calibri" w:hAnsi="Calibri" w:cs="Calibri"/>
        </w:rPr>
        <w:t xml:space="preserve"> от 28.05.2017 N 100-ФЗ</w:t>
      </w:r>
    </w:p>
    <w:p w:rsidR="00881519" w:rsidRDefault="00881519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lastRenderedPageBreak/>
        <w:t>"О внесении изменений в Федеральный закон "О пожарной безопасности" и Кодекс Российской Федерации об административных правонарушениях"</w:t>
      </w:r>
    </w:p>
    <w:p w:rsidR="00881519" w:rsidRDefault="00881519">
      <w:pPr>
        <w:spacing w:after="1" w:line="220" w:lineRule="atLeast"/>
        <w:ind w:firstLine="540"/>
        <w:jc w:val="both"/>
      </w:pP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Расширена административная ответственность за нарушение правил пожарной безопасности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Федеральным законом вводится административная ответственность:</w:t>
      </w:r>
    </w:p>
    <w:p w:rsidR="00881519" w:rsidRDefault="0088151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за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безопасности);</w:t>
      </w:r>
      <w:proofErr w:type="gramEnd"/>
    </w:p>
    <w:p w:rsidR="00881519" w:rsidRDefault="0088151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виде административного приостановления деятельности до 90 суток для лиц, осуществляющих предпринимательскую деятельность без образования юридического лица, и юридических лиц за повторное невыполнение в установленный срок законного предписания органа, осуществляющего федеральный государственный пожарный надзор, в том числе на объектах защиты, на которых осуществляется деятельность в сфере здравоохранения, образования и социального обслуживания.</w:t>
      </w:r>
      <w:proofErr w:type="gramEnd"/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Также предусмотрено:</w:t>
      </w:r>
    </w:p>
    <w:p w:rsidR="00881519" w:rsidRDefault="0088151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введение независимой оценки пожарного риска (аудита пожарной безопасности) - оценки соответствия объекта защиты требованиям пожарной безопасности и проверки соблюдения организациями и гражданами противопожарного режима, проводимых не заинтересованным в результатах оценки или проверки экспертом в области оценки пожарного риска;</w:t>
      </w:r>
      <w:proofErr w:type="gramEnd"/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федерального государственного пожарного надзора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РФ, внутренних дел, государственной охраны, внешней разведки, мобилизационной подготовки и мобилизации, указанными федеральными органами исполнительной власти;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осуществление проверки объектов защиты и/или территорий (земельных участков) с применением </w:t>
      </w:r>
      <w:proofErr w:type="gramStart"/>
      <w:r>
        <w:rPr>
          <w:rFonts w:ascii="Calibri" w:hAnsi="Calibri" w:cs="Calibri"/>
        </w:rPr>
        <w:t>риск-ориентированного</w:t>
      </w:r>
      <w:proofErr w:type="gramEnd"/>
      <w:r>
        <w:rPr>
          <w:rFonts w:ascii="Calibri" w:hAnsi="Calibri" w:cs="Calibri"/>
        </w:rPr>
        <w:t xml:space="preserve"> подхода, в том числе с учетом результатов независимой оценки пожарного риска (аудита пожарной безопасности), если оценка пожарного риска (аудит пожарной безопасности) проводилась.</w:t>
      </w:r>
    </w:p>
    <w:p w:rsidR="00881519" w:rsidRDefault="00881519">
      <w:pPr>
        <w:spacing w:after="1" w:line="220" w:lineRule="atLeast"/>
        <w:ind w:firstLine="540"/>
        <w:jc w:val="both"/>
      </w:pPr>
    </w:p>
    <w:p w:rsidR="00881519" w:rsidRDefault="00881519" w:rsidP="001746E4">
      <w:pPr>
        <w:pStyle w:val="a3"/>
        <w:numPr>
          <w:ilvl w:val="0"/>
          <w:numId w:val="1"/>
        </w:numPr>
        <w:spacing w:after="1" w:line="220" w:lineRule="atLeast"/>
        <w:jc w:val="both"/>
      </w:pPr>
      <w:r w:rsidRPr="001746E4">
        <w:rPr>
          <w:rFonts w:ascii="Calibri" w:hAnsi="Calibri" w:cs="Calibri"/>
        </w:rPr>
        <w:t xml:space="preserve">Федеральный </w:t>
      </w:r>
      <w:hyperlink r:id="rId11" w:history="1">
        <w:r w:rsidRPr="001746E4">
          <w:rPr>
            <w:rFonts w:ascii="Calibri" w:hAnsi="Calibri" w:cs="Calibri"/>
            <w:color w:val="0000FF"/>
          </w:rPr>
          <w:t>закон</w:t>
        </w:r>
      </w:hyperlink>
      <w:r w:rsidRPr="001746E4">
        <w:rPr>
          <w:rFonts w:ascii="Calibri" w:hAnsi="Calibri" w:cs="Calibri"/>
        </w:rPr>
        <w:t xml:space="preserve"> от 28.05.2017 N 102-ФЗ</w:t>
      </w:r>
    </w:p>
    <w:p w:rsidR="00881519" w:rsidRDefault="00881519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 внесении изменений в отдельные законодательные акты Российской Федерации по вопросам административного надзора за лицами, освобожденными из мест лишения свободы"</w:t>
      </w:r>
    </w:p>
    <w:p w:rsidR="00881519" w:rsidRDefault="00881519">
      <w:pPr>
        <w:spacing w:after="1" w:line="220" w:lineRule="atLeast"/>
        <w:ind w:firstLine="540"/>
        <w:jc w:val="both"/>
      </w:pP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 отношении лиц, отбывших наказание по "экстремистским" статьям, будет установлен административный надзор</w:t>
      </w:r>
    </w:p>
    <w:p w:rsidR="00881519" w:rsidRDefault="0088151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Установлено, что административному надзору подлежит, в числе прочих, совершеннолетнее лицо, освобождаемое из мест лишения свободы, если это лицо отбывало наказание за совершение преступлений террористической или экстремистской направленности, а также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proofErr w:type="gramEnd"/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предусматриваются особенности рассмотрения судом вопроса об установлении административного надзора за лицами, не имеющими постоянного места жительства. В частности, вводится понятие "места фактического нахождения". Таким лицам ограничения могут устанавливаться по месту их фактического нахождения (например, ограничения на выезд за пределы территории места их фактического нахождения, постановка на учет и т.п.). Также понятие "места фактического нахождения" используется для определения территориальной подсудности дел об установлении административного надзора в отношении лиц, не имеющих постоянного места жительства или пребывания.</w:t>
      </w:r>
    </w:p>
    <w:p w:rsidR="001746E4" w:rsidRDefault="001746E4">
      <w:pPr>
        <w:spacing w:after="1" w:line="220" w:lineRule="atLeast"/>
        <w:ind w:left="540"/>
        <w:jc w:val="both"/>
        <w:rPr>
          <w:rFonts w:ascii="Calibri" w:hAnsi="Calibri" w:cs="Calibri"/>
        </w:rPr>
      </w:pPr>
    </w:p>
    <w:p w:rsidR="00881519" w:rsidRDefault="00881519" w:rsidP="001746E4">
      <w:pPr>
        <w:pStyle w:val="a3"/>
        <w:numPr>
          <w:ilvl w:val="0"/>
          <w:numId w:val="1"/>
        </w:numPr>
        <w:spacing w:after="1" w:line="220" w:lineRule="atLeast"/>
        <w:jc w:val="both"/>
      </w:pPr>
      <w:r w:rsidRPr="001746E4">
        <w:rPr>
          <w:rFonts w:ascii="Calibri" w:hAnsi="Calibri" w:cs="Calibri"/>
        </w:rPr>
        <w:t>Проект Федерального закона N 182361-7 "О внесении изменения в статью 18.9 Кодекса Российской Федерации об административных правонарушениях"</w:t>
      </w:r>
    </w:p>
    <w:p w:rsidR="00881519" w:rsidRDefault="00881519">
      <w:pPr>
        <w:spacing w:after="1" w:line="220" w:lineRule="atLeast"/>
        <w:ind w:firstLine="540"/>
        <w:jc w:val="both"/>
      </w:pP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Правительство РФ предполагает ужесточить ответственность за предоставление жилья, транспорта либо оказание иных услуг иностранным гражданам, находящимся в России с нарушением правил транзитного проезда через ее территорию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Частью 3 статьи 18.9 КоАП установлена административная ответственность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Законопроектом предусматривается увеличение административного штрафа, налагаемого за совершение указанного правонарушения: для граждан - в размере от двух тысяч до пяти тысяч рублей; для должностных лиц - от тридцати пяти тысяч до пятидесяти тысяч рублей; для юридических лиц - от четырехсот тысяч до пятисот тысяч рублей.</w:t>
      </w:r>
    </w:p>
    <w:p w:rsidR="001746E4" w:rsidRDefault="001746E4">
      <w:pPr>
        <w:spacing w:after="1" w:line="220" w:lineRule="atLeast"/>
        <w:ind w:left="540"/>
        <w:jc w:val="both"/>
        <w:rPr>
          <w:rFonts w:ascii="Calibri" w:hAnsi="Calibri" w:cs="Calibri"/>
        </w:rPr>
      </w:pPr>
    </w:p>
    <w:p w:rsidR="00881519" w:rsidRDefault="00881519" w:rsidP="001746E4">
      <w:pPr>
        <w:pStyle w:val="a3"/>
        <w:numPr>
          <w:ilvl w:val="0"/>
          <w:numId w:val="1"/>
        </w:numPr>
        <w:spacing w:after="1" w:line="220" w:lineRule="atLeast"/>
        <w:jc w:val="both"/>
      </w:pPr>
      <w:r w:rsidRPr="001746E4">
        <w:rPr>
          <w:rFonts w:ascii="Calibri" w:hAnsi="Calibri" w:cs="Calibri"/>
        </w:rPr>
        <w:t>Проект Федерального закона</w:t>
      </w:r>
    </w:p>
    <w:p w:rsidR="00881519" w:rsidRDefault="00881519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 внесении изменений в Гражданский процессуальный кодекс Российской Федерации, Семейный кодекс Российской Федерации и Федеральный закон "Об исполнительном производстве"</w:t>
      </w:r>
    </w:p>
    <w:p w:rsidR="00881519" w:rsidRDefault="00881519">
      <w:pPr>
        <w:spacing w:after="1" w:line="220" w:lineRule="atLeast"/>
        <w:ind w:firstLine="540"/>
        <w:jc w:val="both"/>
      </w:pP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Минюстом России предложен порядок изъятия единственного жилья за долги</w:t>
      </w:r>
    </w:p>
    <w:p w:rsidR="00881519" w:rsidRDefault="0088151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Согласно проекту взыскание на принадлежащее гражданину-должнику на праве собственности единственное пригодное для постоянного проживания гражданина-должника и членов его семьи, проживающих совместно с ним, жилое помещение, не являющееся предметом ипотеки, допускается при наличии совокупности следующих условий:</w:t>
      </w:r>
      <w:proofErr w:type="gramEnd"/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размер такого жилого помещения превышает двукратную норму предоставления площади жилого помещения, на гражданина-должника и членов его семьи, совместно проживающих в указанном жилом помещении, и составляет не менее 36 кв. м на одного человека;</w:t>
      </w:r>
    </w:p>
    <w:p w:rsidR="00881519" w:rsidRDefault="0088151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стоимость такого жилого помещения превышает двукратную стоимость жилого помещения, по размеру соответствующего норме предоставления площади жилого помещения, на гражданина-должника и членов его семьи, совместно проживающих в указанном жилом помещении, рассчитанную с учетом среднего удельного показателя кадастровой стоимости объектов недвижимости для кадастрового квартала, в пределах которого находится такое имущество, на территории субъекта РФ, утвержденного в соответствии с законодательством об оценочной деятельности.</w:t>
      </w:r>
      <w:proofErr w:type="gramEnd"/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Предусматривается, что взыскание на указанное имущество гражданина-должника может быть обращено только на основании определения суда.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Проект содержит положения, устанавливающие порядок подачи заявления об обращении взыскания на жилое помещение и земельный участок, содержание этого заявления и перечень прилагаемых к нему документов, порядок рассмотрения заявления судом, круг лиц, участвующих в рассмотрении заявления, и перечень вопросов, которые должен разрешить суд при принятии определения по результатам рассмотрения заявления.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Установлена презумпция несоразмерности взыскания, которая может быть опровергнута взыскателем в судебном процессе. </w:t>
      </w:r>
      <w:proofErr w:type="gramStart"/>
      <w:r>
        <w:rPr>
          <w:rFonts w:ascii="Calibri" w:hAnsi="Calibri" w:cs="Calibri"/>
        </w:rPr>
        <w:t>Если не доказано иное, предполагается, что размер требований явно несоразмерен стоимости соответствующего имущества в случае, если минимальная денежная сумма, предназначенная для приобретения иного пригодного для проживания гражданина-должника и членов его семьи жилого помещения, составляет более 50 процентов от стоимости соответствующего имущества или сумма неисполненных гражданином-должником обязательств, а также подлежащих возмещению за счет гражданина-должника расходов по совершению исполнительных действий и исполнительского</w:t>
      </w:r>
      <w:proofErr w:type="gramEnd"/>
      <w:r>
        <w:rPr>
          <w:rFonts w:ascii="Calibri" w:hAnsi="Calibri" w:cs="Calibri"/>
        </w:rPr>
        <w:t xml:space="preserve"> сбора составляет менее 200 000 рублей.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Проектом предлагается дополнить Федеральный закон "Об исполнительном производстве" статьей 78.1, определяющей порядок и условия обращения взыскания на единственное пригодное для постоянного проживания жилое помещение должника-гражданина в исполнительном производстве.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этом устанавливается, что указанные нормы применяются только к отношениям, связанным с принудительным исполнением требований по взысканию алиментов, возмещению вреда, причиненного здоровью, возмещению вреда в связи со смертью кормильца и возмещению ущерба, причиненного преступлением, независимо от времени возникновения указанных требований.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Также предусматриваются поправки в Семейный кодекс РФ, в соответствии с которыми: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соглашения и при необходимости обеспечения несовершеннолетнего ребенка жилым помещением каждый из родителей может быть привлечен судом к участию в несении соответствующих дополнительных расходов;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размер неустойки, уплачиваемой при образовании задолженности по вине лица, обязанного уплачивать алименты по решению суда, может быть уменьшен судом с учетом материального и семейного положения лица, обязанного уплачивать алименты.</w:t>
      </w:r>
    </w:p>
    <w:p w:rsidR="001746E4" w:rsidRDefault="001746E4">
      <w:pPr>
        <w:spacing w:after="1" w:line="220" w:lineRule="atLeast"/>
        <w:ind w:left="540"/>
        <w:jc w:val="both"/>
      </w:pPr>
    </w:p>
    <w:p w:rsidR="00881519" w:rsidRDefault="00877722" w:rsidP="001746E4">
      <w:pPr>
        <w:pStyle w:val="a3"/>
        <w:numPr>
          <w:ilvl w:val="0"/>
          <w:numId w:val="1"/>
        </w:numPr>
        <w:spacing w:after="1" w:line="220" w:lineRule="atLeast"/>
        <w:jc w:val="both"/>
      </w:pPr>
      <w:hyperlink r:id="rId12" w:history="1">
        <w:r w:rsidR="00881519" w:rsidRPr="001746E4">
          <w:rPr>
            <w:rFonts w:ascii="Calibri" w:hAnsi="Calibri" w:cs="Calibri"/>
            <w:color w:val="0000FF"/>
          </w:rPr>
          <w:t>Постановление</w:t>
        </w:r>
      </w:hyperlink>
      <w:r w:rsidR="00881519" w:rsidRPr="001746E4">
        <w:rPr>
          <w:rFonts w:ascii="Calibri" w:hAnsi="Calibri" w:cs="Calibri"/>
        </w:rPr>
        <w:t xml:space="preserve"> Правительства РФ от 19.05.2017 N 598</w:t>
      </w:r>
    </w:p>
    <w:p w:rsidR="00881519" w:rsidRDefault="00881519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 внесении изменений в перечень заболеваний, препятствующих отбыванию наказания"</w:t>
      </w:r>
    </w:p>
    <w:p w:rsidR="00881519" w:rsidRDefault="00881519">
      <w:pPr>
        <w:spacing w:after="1" w:line="220" w:lineRule="atLeast"/>
        <w:ind w:firstLine="540"/>
        <w:jc w:val="both"/>
      </w:pP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 перечень заболеваний, препятствующих отбыванию наказания, включены 57 позиций</w:t>
      </w:r>
    </w:p>
    <w:p w:rsidR="00881519" w:rsidRDefault="008815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Ранее указанный перечень включал в себя 41 наименование.</w:t>
      </w:r>
    </w:p>
    <w:p w:rsidR="00881519" w:rsidRDefault="00881519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УК РФ, осужденный, заболевший тяжелой болезнью, препятствующей отбыванию наказания, вправе обратиться в суд с ходатайством об освобождении его от дальнейшего отбывания наказания.</w:t>
      </w:r>
    </w:p>
    <w:p w:rsidR="00877722" w:rsidRDefault="000E57C0" w:rsidP="000E57C0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Старший юрисконсульт правового напр</w:t>
      </w:r>
      <w:r w:rsidR="00877722">
        <w:rPr>
          <w:rFonts w:ascii="Calibri" w:hAnsi="Calibri" w:cs="Calibri"/>
        </w:rPr>
        <w:t>а</w:t>
      </w:r>
      <w:r>
        <w:rPr>
          <w:rFonts w:ascii="Calibri" w:hAnsi="Calibri" w:cs="Calibri"/>
        </w:rPr>
        <w:t>вления</w:t>
      </w:r>
    </w:p>
    <w:p w:rsidR="00877722" w:rsidRDefault="000E57C0" w:rsidP="000E57C0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77722">
        <w:rPr>
          <w:rFonts w:ascii="Calibri" w:hAnsi="Calibri" w:cs="Calibri"/>
        </w:rPr>
        <w:t>ОМВД России по Можайскому району</w:t>
      </w:r>
    </w:p>
    <w:p w:rsidR="00877722" w:rsidRDefault="00877722" w:rsidP="000E57C0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майор внутренней службы</w:t>
      </w:r>
    </w:p>
    <w:p w:rsidR="001746E4" w:rsidRDefault="00877722" w:rsidP="000E57C0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 Сизова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:rsidR="001F5035" w:rsidRDefault="001F5035" w:rsidP="001F5035">
      <w:pPr>
        <w:spacing w:after="1" w:line="220" w:lineRule="atLeast"/>
        <w:ind w:left="4536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 w:rsidR="001746E4">
        <w:rPr>
          <w:rFonts w:ascii="Calibri" w:hAnsi="Calibri" w:cs="Calibri"/>
        </w:rPr>
        <w:t xml:space="preserve">Обзор подготовлен </w:t>
      </w:r>
      <w:r>
        <w:rPr>
          <w:rFonts w:ascii="Calibri" w:hAnsi="Calibri" w:cs="Calibri"/>
        </w:rPr>
        <w:t>с</w:t>
      </w:r>
      <w:r w:rsidR="001746E4">
        <w:rPr>
          <w:rFonts w:ascii="Calibri" w:hAnsi="Calibri" w:cs="Calibri"/>
        </w:rPr>
        <w:t xml:space="preserve"> использованием </w:t>
      </w:r>
      <w:proofErr w:type="gramEnd"/>
    </w:p>
    <w:p w:rsidR="001746E4" w:rsidRDefault="001746E4" w:rsidP="001F5035">
      <w:pPr>
        <w:spacing w:after="1" w:line="220" w:lineRule="atLeast"/>
        <w:ind w:left="453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СПС </w:t>
      </w:r>
      <w:r w:rsidRPr="001746E4">
        <w:rPr>
          <w:rFonts w:ascii="Calibri" w:hAnsi="Calibri" w:cs="Calibri"/>
        </w:rPr>
        <w:t>«</w:t>
      </w:r>
      <w:proofErr w:type="spellStart"/>
      <w:r w:rsidRPr="001746E4">
        <w:rPr>
          <w:rFonts w:ascii="Calibri" w:hAnsi="Calibri" w:cs="Calibri"/>
        </w:rPr>
        <w:t>КонсультантПлюс</w:t>
      </w:r>
      <w:proofErr w:type="spellEnd"/>
      <w:r w:rsidRPr="001746E4">
        <w:rPr>
          <w:rFonts w:ascii="Calibri" w:hAnsi="Calibri" w:cs="Calibri"/>
        </w:rPr>
        <w:t xml:space="preserve">: </w:t>
      </w:r>
      <w:proofErr w:type="gramStart"/>
      <w:r w:rsidRPr="001746E4">
        <w:rPr>
          <w:rFonts w:ascii="Calibri" w:hAnsi="Calibri" w:cs="Calibri"/>
        </w:rPr>
        <w:t>Новое в российском законодательстве с 29 мая по 2 июня 2017 года»</w:t>
      </w:r>
      <w:r w:rsidR="001F5035">
        <w:rPr>
          <w:rFonts w:ascii="Calibri" w:hAnsi="Calibri" w:cs="Calibri"/>
        </w:rPr>
        <w:t>)</w:t>
      </w:r>
      <w:proofErr w:type="gramEnd"/>
    </w:p>
    <w:p w:rsidR="00B001AE" w:rsidRDefault="00B001AE" w:rsidP="001F5035">
      <w:pPr>
        <w:spacing w:after="1" w:line="220" w:lineRule="atLeast"/>
        <w:ind w:left="5103"/>
        <w:jc w:val="right"/>
      </w:pPr>
    </w:p>
    <w:sectPr w:rsidR="00B001AE" w:rsidSect="001F503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35" w:rsidRDefault="001F5035" w:rsidP="001F5035">
      <w:pPr>
        <w:spacing w:after="0" w:line="240" w:lineRule="auto"/>
      </w:pPr>
      <w:r>
        <w:separator/>
      </w:r>
    </w:p>
  </w:endnote>
  <w:endnote w:type="continuationSeparator" w:id="0">
    <w:p w:rsidR="001F5035" w:rsidRDefault="001F5035" w:rsidP="001F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35" w:rsidRDefault="001F5035" w:rsidP="001F5035">
      <w:pPr>
        <w:spacing w:after="0" w:line="240" w:lineRule="auto"/>
      </w:pPr>
      <w:r>
        <w:separator/>
      </w:r>
    </w:p>
  </w:footnote>
  <w:footnote w:type="continuationSeparator" w:id="0">
    <w:p w:rsidR="001F5035" w:rsidRDefault="001F5035" w:rsidP="001F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25272"/>
      <w:docPartObj>
        <w:docPartGallery w:val="Page Numbers (Top of Page)"/>
        <w:docPartUnique/>
      </w:docPartObj>
    </w:sdtPr>
    <w:sdtEndPr/>
    <w:sdtContent>
      <w:p w:rsidR="001F5035" w:rsidRDefault="001F50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22">
          <w:rPr>
            <w:noProof/>
          </w:rPr>
          <w:t>5</w:t>
        </w:r>
        <w:r>
          <w:fldChar w:fldCharType="end"/>
        </w:r>
      </w:p>
    </w:sdtContent>
  </w:sdt>
  <w:p w:rsidR="001F5035" w:rsidRDefault="001F50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171"/>
    <w:multiLevelType w:val="hybridMultilevel"/>
    <w:tmpl w:val="7F2A0CFC"/>
    <w:lvl w:ilvl="0" w:tplc="40C4FA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9"/>
    <w:rsid w:val="000E57C0"/>
    <w:rsid w:val="001746E4"/>
    <w:rsid w:val="001F5035"/>
    <w:rsid w:val="00877722"/>
    <w:rsid w:val="00881519"/>
    <w:rsid w:val="00B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74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035"/>
  </w:style>
  <w:style w:type="paragraph" w:styleId="a6">
    <w:name w:val="footer"/>
    <w:basedOn w:val="a"/>
    <w:link w:val="a7"/>
    <w:uiPriority w:val="99"/>
    <w:unhideWhenUsed/>
    <w:rsid w:val="001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746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035"/>
  </w:style>
  <w:style w:type="paragraph" w:styleId="a6">
    <w:name w:val="footer"/>
    <w:basedOn w:val="a"/>
    <w:link w:val="a7"/>
    <w:uiPriority w:val="99"/>
    <w:unhideWhenUsed/>
    <w:rsid w:val="001F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AA44A2D917BA6026CD4357B98BF9E868D23544D91450C968287F341P1V6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03B159551D16E3E0D1F8312D7272F04765DE94C648744FA01528894Ds8f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3B159551D16E3E0D1F8312D7272F04765DE95CE49744FA01528894Ds8f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3B159551D16E3E0D1F8312D7272F04765DE95CE4B744FA01528894Ds8f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F2206436A491C7249EFEBFCEA3B90E245DAA7175FB3F50522C39CD8gEa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3</cp:revision>
  <dcterms:created xsi:type="dcterms:W3CDTF">2017-06-19T13:48:00Z</dcterms:created>
  <dcterms:modified xsi:type="dcterms:W3CDTF">2017-06-19T13:50:00Z</dcterms:modified>
</cp:coreProperties>
</file>